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Heading1"/>
        <w:spacing w:line="240" w:lineRule="auto" w:before="93"/>
        <w:ind w:left="0"/>
      </w:pPr>
      <w:r>
        <w:rPr/>
        <w:t>RECOMENDAÇÃO Nº 001/2021/GDPG</w:t>
      </w:r>
    </w:p>
    <w:p>
      <w:pPr>
        <w:pStyle w:val="BodyText"/>
        <w:rPr>
          <w:b/>
          <w:sz w:val="32"/>
        </w:rPr>
      </w:pPr>
    </w:p>
    <w:p>
      <w:pPr>
        <w:pStyle w:val="BodyText"/>
        <w:tabs>
          <w:tab w:pos="2164" w:val="left" w:leader="none"/>
          <w:tab w:pos="3990" w:val="left" w:leader="none"/>
          <w:tab w:pos="5204" w:val="left" w:leader="none"/>
          <w:tab w:pos="5772" w:val="left" w:leader="none"/>
        </w:tabs>
        <w:spacing w:line="325" w:lineRule="exact"/>
        <w:ind w:right="54"/>
        <w:jc w:val="center"/>
      </w:pPr>
      <w:r>
        <w:rPr/>
        <w:t>A</w:t>
      </w:r>
      <w:r>
        <w:rPr>
          <w:spacing w:val="45"/>
        </w:rPr>
        <w:t> </w:t>
      </w:r>
      <w:r>
        <w:rPr>
          <w:rFonts w:ascii="Arial Black" w:hAnsi="Arial Black"/>
        </w:rPr>
        <w:t>DEFENSORIA</w:t>
        <w:tab/>
      </w:r>
      <w:r>
        <w:rPr>
          <w:b/>
        </w:rPr>
        <w:t>PÚBLICA </w:t>
      </w:r>
      <w:r>
        <w:rPr>
          <w:b/>
          <w:spacing w:val="42"/>
        </w:rPr>
        <w:t> </w:t>
      </w:r>
      <w:r>
        <w:rPr>
          <w:rFonts w:ascii="Arial Black" w:hAnsi="Arial Black"/>
        </w:rPr>
        <w:t>DO</w:t>
        <w:tab/>
        <w:t>ESTADO</w:t>
        <w:tab/>
        <w:t>DO</w:t>
        <w:tab/>
        <w:t>AMAZONAS</w:t>
      </w:r>
      <w:r>
        <w:rPr>
          <w:position w:val="1"/>
        </w:rPr>
        <w:t>, por meio</w:t>
      </w:r>
      <w:r>
        <w:rPr>
          <w:spacing w:val="5"/>
          <w:position w:val="1"/>
        </w:rPr>
        <w:t> </w:t>
      </w:r>
      <w:r>
        <w:rPr>
          <w:position w:val="1"/>
        </w:rPr>
        <w:t>das</w:t>
      </w:r>
    </w:p>
    <w:p>
      <w:pPr>
        <w:pStyle w:val="BodyText"/>
        <w:spacing w:line="244" w:lineRule="auto"/>
        <w:ind w:left="119" w:right="172"/>
        <w:jc w:val="both"/>
      </w:pPr>
      <w:r>
        <w:rPr/>
        <w:t>Defensoras e Defensores Públicos que esta subscrevem, com fundamento no artigo 134 da Constituição Federal, no artigo 1° da Lei Complementar Federal 80/1994 e no </w:t>
      </w:r>
      <w:r>
        <w:rPr>
          <w:position w:val="1"/>
        </w:rPr>
        <w:t>artigo 1° da Lei Complementar Estadual nº 01/90 e</w:t>
      </w:r>
      <w:r>
        <w:rPr/>
        <w:t>;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30" w:lineRule="auto"/>
        <w:ind w:left="119" w:right="173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a saúde pública é direito social constitucionalmente </w:t>
      </w:r>
      <w:r>
        <w:rPr/>
        <w:t>reconhecido (art. 6 da CF/88), e que são de relevância pública as ações e serviços de saúde (art. 197, CF/88);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que o a</w:t>
      </w:r>
      <w:r>
        <w:rPr>
          <w:position w:val="1"/>
        </w:rPr>
        <w:t>rt. 4º, incisos II e X, da LC 80/1.994, aponta que são </w:t>
      </w:r>
      <w:r>
        <w:rPr/>
        <w:t>funções institucionais da Defensoria Pública a promoção prioritária da solução extrajudicial de conflitos, bem como a realização da mais ampla defesa dos direitos fundamentais dos necessitados;</w:t>
      </w:r>
    </w:p>
    <w:p>
      <w:pPr>
        <w:pStyle w:val="BodyText"/>
        <w:spacing w:before="1"/>
      </w:pPr>
    </w:p>
    <w:p>
      <w:pPr>
        <w:pStyle w:val="BodyText"/>
        <w:spacing w:line="232" w:lineRule="auto" w:before="1"/>
        <w:ind w:left="119" w:right="172" w:hanging="2"/>
        <w:jc w:val="both"/>
      </w:pPr>
      <w:r>
        <w:rPr>
          <w:rFonts w:ascii="Arial Black" w:hAnsi="Arial Black"/>
        </w:rPr>
        <w:t>CONSIDERANDO</w:t>
      </w:r>
      <w:r>
        <w:rPr>
          <w:rFonts w:ascii="Arial Black" w:hAnsi="Arial Black"/>
          <w:spacing w:val="-9"/>
        </w:rPr>
        <w:t> </w:t>
      </w:r>
      <w:r>
        <w:rPr>
          <w:position w:val="1"/>
        </w:rPr>
        <w:t>a</w:t>
      </w:r>
      <w:r>
        <w:rPr>
          <w:spacing w:val="-24"/>
          <w:position w:val="1"/>
        </w:rPr>
        <w:t> </w:t>
      </w:r>
      <w:r>
        <w:rPr>
          <w:position w:val="1"/>
        </w:rPr>
        <w:t>importância</w:t>
      </w:r>
      <w:r>
        <w:rPr>
          <w:spacing w:val="-22"/>
          <w:position w:val="1"/>
        </w:rPr>
        <w:t> </w:t>
      </w:r>
      <w:r>
        <w:rPr>
          <w:position w:val="1"/>
        </w:rPr>
        <w:t>da</w:t>
      </w:r>
      <w:r>
        <w:rPr>
          <w:spacing w:val="-24"/>
          <w:position w:val="1"/>
        </w:rPr>
        <w:t> </w:t>
      </w:r>
      <w:r>
        <w:rPr>
          <w:position w:val="1"/>
        </w:rPr>
        <w:t>utilização</w:t>
      </w:r>
      <w:r>
        <w:rPr>
          <w:spacing w:val="-22"/>
          <w:position w:val="1"/>
        </w:rPr>
        <w:t> </w:t>
      </w:r>
      <w:r>
        <w:rPr>
          <w:position w:val="1"/>
        </w:rPr>
        <w:t>do</w:t>
      </w:r>
      <w:r>
        <w:rPr>
          <w:spacing w:val="-24"/>
          <w:position w:val="1"/>
        </w:rPr>
        <w:t> </w:t>
      </w:r>
      <w:r>
        <w:rPr>
          <w:position w:val="1"/>
        </w:rPr>
        <w:t>instrumento</w:t>
      </w:r>
      <w:r>
        <w:rPr>
          <w:spacing w:val="-24"/>
          <w:position w:val="1"/>
        </w:rPr>
        <w:t> </w:t>
      </w:r>
      <w:r>
        <w:rPr>
          <w:position w:val="1"/>
        </w:rPr>
        <w:t>da</w:t>
      </w:r>
      <w:r>
        <w:rPr>
          <w:spacing w:val="-24"/>
          <w:position w:val="1"/>
        </w:rPr>
        <w:t> </w:t>
      </w:r>
      <w:r>
        <w:rPr>
          <w:position w:val="1"/>
        </w:rPr>
        <w:t>recomendação</w:t>
      </w:r>
      <w:r>
        <w:rPr>
          <w:spacing w:val="-25"/>
          <w:position w:val="1"/>
        </w:rPr>
        <w:t> </w:t>
      </w:r>
      <w:r>
        <w:rPr>
          <w:position w:val="1"/>
        </w:rPr>
        <w:t>pela </w:t>
      </w:r>
      <w:r>
        <w:rPr/>
        <w:t>Defensoria Pública sempre que houver a constatação ou a possibilidade de </w:t>
      </w:r>
      <w:r>
        <w:rPr>
          <w:position w:val="1"/>
        </w:rPr>
        <w:t>violações de direitos de vulneráveis, conforme se depreende da análise do </w:t>
      </w:r>
      <w:r>
        <w:rPr/>
        <w:t>a</w:t>
      </w:r>
      <w:r>
        <w:rPr>
          <w:position w:val="1"/>
        </w:rPr>
        <w:t>rt. 134 da Constituição </w:t>
      </w:r>
      <w:r>
        <w:rPr/>
        <w:t>Federal de</w:t>
      </w:r>
      <w:r>
        <w:rPr>
          <w:spacing w:val="-4"/>
        </w:rPr>
        <w:t> </w:t>
      </w:r>
      <w:r>
        <w:rPr/>
        <w:t>1988;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5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a Organização Mundial de Saúde – OMS, em 30 de janeiro </w:t>
      </w:r>
      <w:r>
        <w:rPr/>
        <w:t>de 2020, declarou estado de Emergência de Saúde Pública de Importância Internacional –ESPII, dado o grau de avanço dos casos de contaminação pelo novo coronavírus;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19" w:right="108" w:hanging="2"/>
        <w:jc w:val="both"/>
      </w:pPr>
      <w:r>
        <w:rPr>
          <w:rFonts w:ascii="Arial Black" w:hAnsi="Arial Black"/>
        </w:rPr>
        <w:t>CONSIDERANDO </w:t>
      </w:r>
      <w:r>
        <w:rPr/>
        <w:t>que </w:t>
      </w:r>
      <w:r>
        <w:rPr>
          <w:position w:val="1"/>
        </w:rPr>
        <w:t>o Estado de Emergência de Saúde Pública de Importância </w:t>
      </w:r>
      <w:r>
        <w:rPr/>
        <w:t>Nacional – ESPIN, declarado em 03 de fevereiro de 2020, por meio da edição da Portaria MS nº 188, nos termos do Decreto nº 7.616, de 17 de novembro de 2011, </w:t>
      </w:r>
      <w:r>
        <w:rPr>
          <w:position w:val="1"/>
        </w:rPr>
        <w:t>definiu o Centro de Operações de Emergências em Saúde Pública (COE-</w:t>
      </w:r>
      <w:r>
        <w:rPr/>
        <w:t>nCoV</w:t>
      </w:r>
      <w:r>
        <w:rPr>
          <w:position w:val="1"/>
        </w:rPr>
        <w:t>) </w:t>
      </w:r>
      <w:r>
        <w:rPr/>
        <w:t>como mecanismo nacional de gestão coordenada de respostas à emergência na esfera nacional, cujo controle recai sobre a Secretaria de Vigilância em Saúde – SVS/MS. Além disso, o Ministério da Saúde - MS divulgou o Plano de Contingência Nacional para Infecção Humana pelo novo coronavírus, documento essencial para a definição das estratégias de</w:t>
      </w:r>
      <w:r>
        <w:rPr>
          <w:spacing w:val="-6"/>
        </w:rPr>
        <w:t> </w:t>
      </w:r>
      <w:r>
        <w:rPr/>
        <w:t>atuação;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7" w:lineRule="auto"/>
        <w:ind w:left="119" w:right="172" w:hanging="2"/>
      </w:pPr>
      <w:r>
        <w:rPr>
          <w:rFonts w:ascii="Arial Black" w:hAnsi="Arial Black"/>
        </w:rPr>
        <w:t>CONSIDERANDO </w:t>
      </w:r>
      <w:r>
        <w:rPr/>
        <w:t>que, em razão da necessidade de responder rapidamente à </w:t>
      </w:r>
      <w:r>
        <w:rPr>
          <w:position w:val="1"/>
        </w:rPr>
        <w:t>ameaça real que </w:t>
      </w:r>
      <w:r>
        <w:rPr/>
        <w:t>a pandemia do novo coronavírus representa no território n</w:t>
      </w:r>
      <w:r>
        <w:rPr>
          <w:position w:val="1"/>
        </w:rPr>
        <w:t>acional, </w:t>
      </w:r>
      <w:r>
        <w:rPr/>
        <w:t>foi editada a Lei nº 13.979, de 6 de fevereiro de 2020, com vigência restrita ao período de decretação de Estado de Emergência de Saúde Pública de Importância </w:t>
      </w:r>
      <w:r>
        <w:rPr>
          <w:position w:val="1"/>
        </w:rPr>
        <w:t>internacional pela OMS (art. 1º), </w:t>
      </w:r>
      <w:r>
        <w:rPr/>
        <w:t>a qual </w:t>
      </w:r>
      <w:r>
        <w:rPr>
          <w:position w:val="1"/>
        </w:rPr>
        <w:t>prevê uma série de mecanismos de atuação </w:t>
      </w:r>
      <w:r>
        <w:rPr/>
        <w:t>para as autoridades em vigilância da saúde, tais como isolamentos, quarentenas, requisições de bens e serviços, hipótese de dispensa de licitação, etc.;</w:t>
      </w:r>
    </w:p>
    <w:p>
      <w:pPr>
        <w:spacing w:after="0" w:line="237" w:lineRule="auto"/>
        <w:sectPr>
          <w:headerReference w:type="default" r:id="rId5"/>
          <w:footerReference w:type="default" r:id="rId6"/>
          <w:type w:val="continuous"/>
          <w:pgSz w:w="11910" w:h="16840"/>
          <w:pgMar w:header="1008" w:footer="790" w:top="2000" w:bottom="980" w:left="1440" w:right="110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5" w:lineRule="auto" w:before="106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a divulgação pelo Ministério da Saúde no dia 26 de fevereiro de </w:t>
      </w:r>
      <w:r>
        <w:rPr/>
        <w:t>2020, da confirmação do primeiro caso de infecção pelo COVID-19 em território nacional, evidenciando a necessidade de atuação conjunta, interinstitucional, e </w:t>
      </w:r>
      <w:r>
        <w:rPr>
          <w:position w:val="1"/>
        </w:rPr>
        <w:t>voltada </w:t>
      </w:r>
      <w:r>
        <w:rPr/>
        <w:t>à atuação preventiva, extrajudicial e resolutiva;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25" w:lineRule="exact"/>
        <w:ind w:left="117"/>
        <w:jc w:val="both"/>
      </w:pPr>
      <w:r>
        <w:rPr>
          <w:rFonts w:ascii="Arial Black" w:hAnsi="Arial Black"/>
        </w:rPr>
        <w:t>CONSIDERANDO</w:t>
      </w:r>
      <w:r>
        <w:rPr>
          <w:rFonts w:ascii="Arial Black" w:hAnsi="Arial Black"/>
          <w:spacing w:val="64"/>
        </w:rPr>
        <w:t> </w:t>
      </w:r>
      <w:r>
        <w:rPr>
          <w:position w:val="1"/>
        </w:rPr>
        <w:t>as recomendações de autoridades sanitárias para que sejam</w:t>
      </w:r>
    </w:p>
    <w:p>
      <w:pPr>
        <w:pStyle w:val="BodyText"/>
        <w:spacing w:line="262" w:lineRule="exact"/>
        <w:ind w:left="119"/>
        <w:jc w:val="both"/>
      </w:pPr>
      <w:r>
        <w:rPr/>
        <w:t>evitadas aglomeração de pessoas;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5" w:lineRule="auto"/>
        <w:ind w:left="119" w:right="171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o recente estudo divulgado pela FIOCRUZ, em 23 de dezembro de 2020, atestando que a reinfecção </w:t>
      </w:r>
      <w:r>
        <w:rPr/>
        <w:t>pelo coronavírus </w:t>
      </w:r>
      <w:r>
        <w:rPr>
          <w:position w:val="1"/>
        </w:rPr>
        <w:t>é possível e pode ser ainda </w:t>
      </w:r>
      <w:r>
        <w:rPr/>
        <w:t>mais grave, especialmente nos casos de primeira infecção branda ou assintomática, o que possibilita a ocorrência de ciclos da doença e sua perpetuação social no caso </w:t>
      </w:r>
      <w:r>
        <w:rPr>
          <w:position w:val="1"/>
        </w:rPr>
        <w:t>de não implementadas as medidas sanitárias pertinentes</w:t>
      </w:r>
      <w:r>
        <w:rPr/>
        <w:t>;</w:t>
      </w:r>
    </w:p>
    <w:p>
      <w:pPr>
        <w:pStyle w:val="BodyText"/>
        <w:spacing w:before="3"/>
      </w:pPr>
    </w:p>
    <w:p>
      <w:pPr>
        <w:pStyle w:val="BodyText"/>
        <w:spacing w:line="232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que o recente </w:t>
      </w:r>
      <w:r>
        <w:rPr>
          <w:position w:val="1"/>
        </w:rPr>
        <w:t>Decreto Estadual nº 43.269 de 2021 promoveu a repristinação do Decreto Estadual nº 43.234</w:t>
      </w:r>
      <w:r>
        <w:rPr/>
        <w:t>, dispondo </w:t>
      </w:r>
      <w:r>
        <w:rPr>
          <w:position w:val="2"/>
        </w:rPr>
        <w:t>sobre novas medidas </w:t>
      </w:r>
      <w:r>
        <w:rPr>
          <w:position w:val="1"/>
        </w:rPr>
        <w:t>restr</w:t>
      </w:r>
      <w:r>
        <w:rPr/>
        <w:t>itivas para enfrentamento da </w:t>
      </w:r>
      <w:r>
        <w:rPr>
          <w:position w:val="1"/>
        </w:rPr>
        <w:t>pandemia do novo coronavírus, em virtude da </w:t>
      </w:r>
      <w:r>
        <w:rPr/>
        <w:t>extrema gravidade do cenário epidemiológico no estado do Amazonas, mormente o </w:t>
      </w:r>
      <w:r>
        <w:rPr>
          <w:position w:val="1"/>
        </w:rPr>
        <w:t>número elevado de casos positivos e de óbitos decorrentes da Covid-19</w:t>
      </w:r>
      <w:r>
        <w:rPr/>
        <w:t>;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7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o Decreto Estadual citado, em virtude da necessidade de </w:t>
      </w:r>
      <w:r>
        <w:rPr/>
        <w:t>estabelecer novas medidas de enfrentamento à pandemia da COVID-19, suspendeu, no período de 26 de dezembro de 2020 a 10 de janeiro de 2021, o funcionamento de </w:t>
      </w:r>
      <w:r>
        <w:rPr>
          <w:position w:val="1"/>
        </w:rPr>
        <w:t>todos os estabelecimentos comerciais e serviços não essenciais, </w:t>
      </w:r>
      <w:r>
        <w:rPr/>
        <w:t>a fim de </w:t>
      </w:r>
      <w:r>
        <w:rPr>
          <w:position w:val="1"/>
        </w:rPr>
        <w:t>buscar </w:t>
      </w:r>
      <w:r>
        <w:rPr/>
        <w:t>uma melhoria dos indicadores técnicos referentes à transmissibilidade do vírus e de internações na rede pública e privada de saúde;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5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que, pelo Plano Executivo de Contigência </w:t>
      </w:r>
      <w:r>
        <w:rPr>
          <w:position w:val="1"/>
        </w:rPr>
        <w:t>Estadual para o Recrudescimento da Infecção Humana pelo </w:t>
      </w:r>
      <w:r>
        <w:rPr/>
        <w:t>novo coronavírus</w:t>
      </w:r>
      <w:r>
        <w:rPr>
          <w:position w:val="1"/>
        </w:rPr>
        <w:t>, ante o aumento </w:t>
      </w:r>
      <w:r>
        <w:rPr/>
        <w:t>vertiginoso das contaminações, a Fase 4 foi antecipada, com a determinação da reabertura de leitos clínicos e de UTI na rede pública de saúde e a reestruturação de </w:t>
      </w:r>
      <w:r>
        <w:rPr>
          <w:position w:val="1"/>
        </w:rPr>
        <w:t>demais hospitais para receber pacientes </w:t>
      </w:r>
      <w:r>
        <w:rPr/>
        <w:t>com a Covid-19;</w:t>
      </w:r>
    </w:p>
    <w:p>
      <w:pPr>
        <w:pStyle w:val="BodyText"/>
        <w:spacing w:before="3"/>
      </w:pPr>
    </w:p>
    <w:p>
      <w:pPr>
        <w:pStyle w:val="BodyText"/>
        <w:spacing w:line="232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a Fundação de Vigilância em Saúde declarou que o Estado </w:t>
      </w:r>
      <w:r>
        <w:rPr/>
        <w:t>do Amazonas nunca esteve em posição de contaminação residual, situação </w:t>
      </w:r>
      <w:r>
        <w:rPr>
          <w:position w:val="1"/>
        </w:rPr>
        <w:t>comprovada pelo elevado e cont</w:t>
      </w:r>
      <w:r>
        <w:rPr/>
        <w:t>ínuo número de casos de pessoas </w:t>
      </w:r>
      <w:r>
        <w:rPr>
          <w:position w:val="1"/>
        </w:rPr>
        <w:t>contaminadas pelo SARS-CoV-2</w:t>
      </w:r>
      <w:r>
        <w:rPr/>
        <w:t>, identificado a partir de setembro de 2020;</w:t>
      </w:r>
    </w:p>
    <w:p>
      <w:pPr>
        <w:pStyle w:val="BodyText"/>
        <w:spacing w:before="3"/>
      </w:pPr>
    </w:p>
    <w:p>
      <w:pPr>
        <w:pStyle w:val="BodyText"/>
        <w:spacing w:line="230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que o Boletim Epidemiológico de 07.01.2021 indica que, </w:t>
      </w:r>
      <w:r>
        <w:rPr>
          <w:position w:val="1"/>
        </w:rPr>
        <w:t>no Estado do Amazonas</w:t>
      </w:r>
      <w:r>
        <w:rPr/>
        <w:t>, há 208.798 casos confirmados </w:t>
      </w:r>
      <w:r>
        <w:rPr>
          <w:position w:val="1"/>
        </w:rPr>
        <w:t>de contaminados pela COVID-19</w:t>
      </w:r>
      <w:r>
        <w:rPr/>
        <w:t>, sendo 86.728 </w:t>
      </w:r>
      <w:r>
        <w:rPr>
          <w:position w:val="1"/>
        </w:rPr>
        <w:t>de Manaus (41,54%) e 122.070 do interior do estado (58,46%)</w:t>
      </w:r>
      <w:r>
        <w:rPr/>
        <w:t>;</w:t>
      </w:r>
    </w:p>
    <w:p>
      <w:pPr>
        <w:spacing w:after="0" w:line="230" w:lineRule="auto"/>
        <w:jc w:val="both"/>
        <w:sectPr>
          <w:pgSz w:w="11910" w:h="16840"/>
          <w:pgMar w:header="1008" w:footer="790" w:top="2000" w:bottom="980" w:left="1440" w:right="110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8" w:lineRule="auto" w:before="114"/>
        <w:ind w:left="119" w:right="171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a declaração da Fundação de Vigilância em Saúde (FVS) indicando que o Estado do Amazonas entrou na </w:t>
      </w:r>
      <w:r>
        <w:rPr>
          <w:u w:val="single"/>
        </w:rPr>
        <w:t>fase roxa</w:t>
      </w:r>
      <w:r>
        <w:rPr/>
        <w:t> </w:t>
      </w:r>
      <w:r>
        <w:rPr>
          <w:position w:val="1"/>
        </w:rPr>
        <w:t>da pandemia, que </w:t>
      </w:r>
      <w:r>
        <w:rPr/>
        <w:t>representa alto risco;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18" w:lineRule="auto" w:before="1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em março de 2020, mês que antecedeu o primeiro pico </w:t>
      </w:r>
      <w:r>
        <w:rPr>
          <w:spacing w:val="-8"/>
          <w:position w:val="1"/>
        </w:rPr>
        <w:t>da </w:t>
      </w:r>
      <w:r>
        <w:rPr/>
        <w:t>COVID-19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Estado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Amazonas</w:t>
      </w:r>
      <w:r>
        <w:rPr>
          <w:spacing w:val="13"/>
        </w:rPr>
        <w:t> </w:t>
      </w:r>
      <w:r>
        <w:rPr/>
        <w:t>(abril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maio),</w:t>
      </w:r>
      <w:r>
        <w:rPr>
          <w:spacing w:val="14"/>
        </w:rPr>
        <w:t> </w:t>
      </w:r>
      <w:r>
        <w:rPr/>
        <w:t>foi</w:t>
      </w:r>
      <w:r>
        <w:rPr>
          <w:spacing w:val="14"/>
        </w:rPr>
        <w:t> </w:t>
      </w:r>
      <w:r>
        <w:rPr/>
        <w:t>editado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Decreto</w:t>
      </w:r>
      <w:r>
        <w:rPr>
          <w:spacing w:val="13"/>
        </w:rPr>
        <w:t> </w:t>
      </w:r>
      <w:r>
        <w:rPr/>
        <w:t>Estadual</w:t>
      </w:r>
      <w:r>
        <w:rPr>
          <w:spacing w:val="14"/>
        </w:rPr>
        <w:t> </w:t>
      </w:r>
      <w:r>
        <w:rPr>
          <w:spacing w:val="-7"/>
        </w:rPr>
        <w:t>nº</w:t>
      </w:r>
    </w:p>
    <w:p>
      <w:pPr>
        <w:pStyle w:val="BodyText"/>
        <w:spacing w:line="244" w:lineRule="auto" w:before="9"/>
        <w:ind w:left="119" w:right="172"/>
      </w:pPr>
      <w:r>
        <w:rPr/>
        <w:t>42.087 de 2020, suspendendo o transporte fluvial de passageiros em embarcações de grande, médio e pequeno porte, ressalvados os casos de urgência e</w:t>
      </w:r>
      <w:r>
        <w:rPr>
          <w:spacing w:val="-46"/>
        </w:rPr>
        <w:t> </w:t>
      </w:r>
      <w:r>
        <w:rPr/>
        <w:t>emergência;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o segundo pico da COVID-19 no Estado do Amazonas está </w:t>
      </w:r>
      <w:r>
        <w:rPr/>
        <w:t>sendo vivenciado nos dias atuais, e que as últimas notícias indicam números de contaminação, internação e mortes ainda maiores que aqueles registrados no primeiro pico da doença;</w:t>
      </w:r>
    </w:p>
    <w:p>
      <w:pPr>
        <w:pStyle w:val="BodyText"/>
        <w:spacing w:before="4"/>
      </w:pPr>
    </w:p>
    <w:p>
      <w:pPr>
        <w:pStyle w:val="BodyText"/>
        <w:spacing w:line="230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o estudo realizado pela Universidade Federal do Amazonas </w:t>
      </w:r>
      <w:r>
        <w:rPr/>
        <w:t>(UFAM), que atestou que a suspensão do transporte fluvial de passageiros evitou o </w:t>
      </w:r>
      <w:r>
        <w:rPr>
          <w:position w:val="1"/>
        </w:rPr>
        <w:t>contágio de 123.000 pessoas, além de 1.200 mortes decorrentes da COVID-19</w:t>
      </w:r>
      <w:r>
        <w:rPr/>
        <w:t>;</w:t>
      </w:r>
    </w:p>
    <w:p>
      <w:pPr>
        <w:pStyle w:val="BodyText"/>
        <w:spacing w:before="3"/>
      </w:pPr>
    </w:p>
    <w:p>
      <w:pPr>
        <w:pStyle w:val="BodyText"/>
        <w:spacing w:line="232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que, em face do </w:t>
      </w:r>
      <w:r>
        <w:rPr>
          <w:position w:val="1"/>
        </w:rPr>
        <w:t>contínuo e elevado crescimento de casos na capital, são pertinentes as adoções de medidas </w:t>
      </w:r>
      <w:r>
        <w:rPr/>
        <w:t>proporcionais e suficientes </w:t>
      </w:r>
      <w:r>
        <w:rPr>
          <w:position w:val="1"/>
        </w:rPr>
        <w:t>que limitem a circulação de pessoas </w:t>
      </w:r>
      <w:r>
        <w:rPr/>
        <w:t>para dentro e fora do local de agravada transmissão </w:t>
      </w:r>
      <w:r>
        <w:rPr>
          <w:position w:val="1"/>
        </w:rPr>
        <w:t>da doença</w:t>
      </w:r>
      <w:r>
        <w:rPr/>
        <w:t>, em moldes similares ao de uma quarentena e de </w:t>
      </w:r>
      <w:r>
        <w:rPr>
          <w:position w:val="1"/>
        </w:rPr>
        <w:t>fechamento de fronteiras </w:t>
      </w:r>
      <w:r>
        <w:rPr/>
        <w:t>internas, como tem sido feito na Austrália e China</w:t>
      </w:r>
      <w:r>
        <w:rPr>
          <w:position w:val="1"/>
        </w:rPr>
        <w:t>, a fim de evitar uma maior propagação nas demais regiões do Estado do Amazonas</w:t>
      </w:r>
      <w:r>
        <w:rPr/>
        <w:t>.</w:t>
      </w:r>
    </w:p>
    <w:p>
      <w:pPr>
        <w:pStyle w:val="BodyText"/>
        <w:spacing w:before="5"/>
        <w:rPr>
          <w:sz w:val="23"/>
        </w:rPr>
      </w:pPr>
    </w:p>
    <w:p>
      <w:pPr>
        <w:spacing w:line="237" w:lineRule="auto" w:before="0"/>
        <w:ind w:left="119" w:right="172" w:hanging="2"/>
        <w:jc w:val="both"/>
        <w:rPr>
          <w:i/>
          <w:sz w:val="24"/>
        </w:rPr>
      </w:pPr>
      <w:r>
        <w:rPr>
          <w:rFonts w:ascii="Arial Black" w:hAnsi="Arial Black"/>
          <w:sz w:val="24"/>
        </w:rPr>
        <w:t>CONSIDERANDO </w:t>
      </w:r>
      <w:r>
        <w:rPr>
          <w:sz w:val="24"/>
        </w:rPr>
        <w:t>que, segundo estudo </w:t>
      </w:r>
      <w:r>
        <w:rPr>
          <w:position w:val="1"/>
          <w:sz w:val="24"/>
        </w:rPr>
        <w:t>efetuado pelo Centro de Estudos </w:t>
      </w:r>
      <w:r>
        <w:rPr>
          <w:spacing w:val="-7"/>
          <w:position w:val="1"/>
          <w:sz w:val="24"/>
        </w:rPr>
        <w:t>em </w:t>
      </w:r>
      <w:r>
        <w:rPr>
          <w:sz w:val="24"/>
        </w:rPr>
        <w:t>Regulação e Infraestrutura-FGV, há alta probabilidade de contágio nos próprios veículos de transporte coletivo de passageiros, a exemplo dos ônibus que efetuam o transporte intermunicipal, “</w:t>
      </w:r>
      <w:r>
        <w:rPr>
          <w:i/>
          <w:sz w:val="24"/>
        </w:rPr>
        <w:t>em função do alto número de pessoas confinadas em </w:t>
      </w:r>
      <w:r>
        <w:rPr>
          <w:i/>
          <w:sz w:val="24"/>
        </w:rPr>
        <w:t>espaço com ventilação limitada, sem nenhum controle de acesso de pessoas </w:t>
      </w:r>
      <w:r>
        <w:rPr>
          <w:i/>
          <w:position w:val="1"/>
          <w:sz w:val="24"/>
        </w:rPr>
        <w:t>infectadas,</w:t>
      </w:r>
      <w:r>
        <w:rPr>
          <w:i/>
          <w:spacing w:val="-3"/>
          <w:position w:val="1"/>
          <w:sz w:val="24"/>
        </w:rPr>
        <w:t> </w:t>
      </w:r>
      <w:r>
        <w:rPr>
          <w:i/>
          <w:position w:val="1"/>
          <w:sz w:val="24"/>
        </w:rPr>
        <w:t>além</w:t>
      </w:r>
      <w:r>
        <w:rPr>
          <w:i/>
          <w:spacing w:val="-2"/>
          <w:position w:val="1"/>
          <w:sz w:val="24"/>
        </w:rPr>
        <w:t> </w:t>
      </w:r>
      <w:r>
        <w:rPr>
          <w:i/>
          <w:position w:val="1"/>
          <w:sz w:val="24"/>
        </w:rPr>
        <w:t>de</w:t>
      </w:r>
      <w:r>
        <w:rPr>
          <w:i/>
          <w:spacing w:val="-4"/>
          <w:position w:val="1"/>
          <w:sz w:val="24"/>
        </w:rPr>
        <w:t> </w:t>
      </w:r>
      <w:r>
        <w:rPr>
          <w:i/>
          <w:position w:val="1"/>
          <w:sz w:val="24"/>
        </w:rPr>
        <w:t>apresentar</w:t>
      </w:r>
      <w:r>
        <w:rPr>
          <w:i/>
          <w:spacing w:val="-4"/>
          <w:position w:val="1"/>
          <w:sz w:val="24"/>
        </w:rPr>
        <w:t> </w:t>
      </w:r>
      <w:r>
        <w:rPr>
          <w:i/>
          <w:position w:val="1"/>
          <w:sz w:val="24"/>
        </w:rPr>
        <w:t>uma</w:t>
      </w:r>
      <w:r>
        <w:rPr>
          <w:i/>
          <w:spacing w:val="-5"/>
          <w:position w:val="1"/>
          <w:sz w:val="24"/>
        </w:rPr>
        <w:t> </w:t>
      </w:r>
      <w:r>
        <w:rPr>
          <w:i/>
          <w:position w:val="1"/>
          <w:sz w:val="24"/>
        </w:rPr>
        <w:t>variedade</w:t>
      </w:r>
      <w:r>
        <w:rPr>
          <w:i/>
          <w:spacing w:val="-2"/>
          <w:position w:val="1"/>
          <w:sz w:val="24"/>
        </w:rPr>
        <w:t> </w:t>
      </w:r>
      <w:r>
        <w:rPr>
          <w:i/>
          <w:position w:val="1"/>
          <w:sz w:val="24"/>
        </w:rPr>
        <w:t>de</w:t>
      </w:r>
      <w:r>
        <w:rPr>
          <w:i/>
          <w:spacing w:val="-4"/>
          <w:position w:val="1"/>
          <w:sz w:val="24"/>
        </w:rPr>
        <w:t> </w:t>
      </w:r>
      <w:r>
        <w:rPr>
          <w:i/>
          <w:position w:val="1"/>
          <w:sz w:val="24"/>
        </w:rPr>
        <w:t>superfícies</w:t>
      </w:r>
      <w:r>
        <w:rPr>
          <w:i/>
          <w:spacing w:val="-14"/>
          <w:position w:val="1"/>
          <w:sz w:val="24"/>
        </w:rPr>
        <w:t> </w:t>
      </w:r>
      <w:r>
        <w:rPr>
          <w:i/>
          <w:position w:val="1"/>
          <w:sz w:val="24"/>
        </w:rPr>
        <w:t>possíveis</w:t>
      </w:r>
      <w:r>
        <w:rPr>
          <w:i/>
          <w:spacing w:val="-14"/>
          <w:position w:val="1"/>
          <w:sz w:val="24"/>
        </w:rPr>
        <w:t> </w:t>
      </w:r>
      <w:r>
        <w:rPr>
          <w:i/>
          <w:position w:val="1"/>
          <w:sz w:val="24"/>
        </w:rPr>
        <w:t>de</w:t>
      </w:r>
      <w:r>
        <w:rPr>
          <w:i/>
          <w:spacing w:val="-4"/>
          <w:position w:val="1"/>
          <w:sz w:val="24"/>
        </w:rPr>
        <w:t> </w:t>
      </w:r>
      <w:r>
        <w:rPr>
          <w:i/>
          <w:sz w:val="24"/>
        </w:rPr>
        <w:t>abrigagem </w:t>
      </w:r>
      <w:r>
        <w:rPr>
          <w:i/>
          <w:position w:val="1"/>
          <w:sz w:val="24"/>
        </w:rPr>
        <w:t>de vírus a serem tocadas</w:t>
      </w:r>
      <w:r>
        <w:rPr>
          <w:i/>
          <w:spacing w:val="-6"/>
          <w:position w:val="1"/>
          <w:sz w:val="24"/>
        </w:rPr>
        <w:t> </w:t>
      </w:r>
      <w:r>
        <w:rPr>
          <w:i/>
          <w:spacing w:val="-4"/>
          <w:position w:val="1"/>
          <w:sz w:val="24"/>
        </w:rPr>
        <w:t>(...)”</w:t>
      </w:r>
      <w:r>
        <w:rPr>
          <w:i/>
          <w:spacing w:val="-4"/>
          <w:sz w:val="24"/>
        </w:rPr>
        <w:t>.</w:t>
      </w:r>
    </w:p>
    <w:p>
      <w:pPr>
        <w:pStyle w:val="BodyText"/>
        <w:spacing w:before="8"/>
        <w:rPr>
          <w:i/>
        </w:rPr>
      </w:pPr>
    </w:p>
    <w:p>
      <w:pPr>
        <w:pStyle w:val="BodyText"/>
        <w:spacing w:line="232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a decisão </w:t>
      </w:r>
      <w:r>
        <w:rPr>
          <w:position w:val="1"/>
        </w:rPr>
        <w:t>do Supremo Tribunal Federal (STF) que garantiu autonomia de Estados e Municípios </w:t>
      </w:r>
      <w:r>
        <w:rPr/>
        <w:t>para adotarem as medid</w:t>
      </w:r>
      <w:r>
        <w:rPr>
          <w:position w:val="1"/>
        </w:rPr>
        <w:t>as que entenderem </w:t>
      </w:r>
      <w:r>
        <w:rPr/>
        <w:t>pertinentes no sentido de medidas preventivas e restritivas de enfrentamento à pandemia;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o art. 24, XII, da Constituição Federal confere competência </w:t>
      </w:r>
      <w:r>
        <w:rPr/>
        <w:t>concorrente entre União e Estados para legislar sobre proteção e defesa da saúde, situação em que se insere o Decreto n. 43.234, de 23 de dezembro de 202, cabendo aos Municípios tão somente suplementar essa norma de contenção de aglomeração social, mas nunca negar sua vigência e eficácia, prevalecendo sempre a norma mais </w:t>
      </w:r>
      <w:r>
        <w:rPr>
          <w:position w:val="1"/>
        </w:rPr>
        <w:t>protetiva à saúde</w:t>
      </w:r>
      <w:r>
        <w:rPr/>
        <w:t>;</w:t>
      </w:r>
    </w:p>
    <w:p>
      <w:pPr>
        <w:spacing w:after="0"/>
        <w:jc w:val="both"/>
        <w:sectPr>
          <w:pgSz w:w="11910" w:h="16840"/>
          <w:pgMar w:header="1008" w:footer="790" w:top="2000" w:bottom="980" w:left="1440" w:right="110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 w:before="103"/>
        <w:ind w:left="119" w:right="160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 o recrudescimento da política de combate ao coronavírus </w:t>
      </w:r>
      <w:r>
        <w:rPr/>
        <w:t>exige dos entes públicos a máxima cooperação, em especial no Estado do Amazonas, em que o Hospital de Referência para alta complexidade para tratar pacientes com covid-19, está localizado na cidade de Manaus e atende todos os pacientes transferidos dos municípios da vastidão do nosso território;</w:t>
      </w:r>
    </w:p>
    <w:p>
      <w:pPr>
        <w:pStyle w:val="BodyText"/>
        <w:spacing w:before="7"/>
      </w:pPr>
    </w:p>
    <w:p>
      <w:pPr>
        <w:pStyle w:val="BodyText"/>
        <w:spacing w:line="228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/>
        <w:t>as notícias recentes veiculadas nos jornais de âmbito local </w:t>
      </w:r>
      <w:r>
        <w:rPr>
          <w:position w:val="1"/>
        </w:rPr>
        <w:t>e nacional</w:t>
      </w:r>
      <w:r>
        <w:rPr/>
        <w:t>, que indicam a proximidade de um </w:t>
      </w:r>
      <w:r>
        <w:rPr>
          <w:position w:val="1"/>
        </w:rPr>
        <w:t>colapso no sistema de saúde público e </w:t>
      </w:r>
      <w:r>
        <w:rPr/>
        <w:t>privado da capital do Estado;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5" w:lineRule="auto"/>
        <w:ind w:left="119" w:right="172" w:hanging="2"/>
        <w:jc w:val="both"/>
      </w:pPr>
      <w:r>
        <w:rPr>
          <w:rFonts w:ascii="Arial Black" w:hAnsi="Arial Black"/>
        </w:rPr>
        <w:t>CONSIDERANDO</w:t>
      </w:r>
      <w:r>
        <w:rPr>
          <w:rFonts w:ascii="Arial Black" w:hAnsi="Arial Black"/>
          <w:spacing w:val="-46"/>
        </w:rPr>
        <w:t> </w:t>
      </w:r>
      <w:r>
        <w:rPr/>
        <w:t>,</w:t>
      </w:r>
      <w:r>
        <w:rPr>
          <w:spacing w:val="-6"/>
        </w:rPr>
        <w:t> </w:t>
      </w:r>
      <w:r>
        <w:rPr/>
        <w:t>ainda</w:t>
      </w:r>
      <w:r>
        <w:rPr>
          <w:position w:val="1"/>
        </w:rPr>
        <w:t>,</w:t>
      </w:r>
      <w:r>
        <w:rPr>
          <w:spacing w:val="-5"/>
          <w:position w:val="1"/>
        </w:rPr>
        <w:t> </w:t>
      </w:r>
      <w:r>
        <w:rPr>
          <w:position w:val="1"/>
        </w:rPr>
        <w:t>que</w:t>
      </w:r>
      <w:r>
        <w:rPr>
          <w:spacing w:val="-6"/>
          <w:position w:val="1"/>
        </w:rPr>
        <w:t> </w:t>
      </w:r>
      <w:r>
        <w:rPr>
          <w:position w:val="1"/>
        </w:rPr>
        <w:t>as</w:t>
      </w:r>
      <w:r>
        <w:rPr>
          <w:spacing w:val="-5"/>
          <w:position w:val="1"/>
        </w:rPr>
        <w:t> </w:t>
      </w:r>
      <w:r>
        <w:rPr>
          <w:position w:val="1"/>
        </w:rPr>
        <w:t>cidades</w:t>
      </w:r>
      <w:r>
        <w:rPr>
          <w:spacing w:val="-4"/>
          <w:position w:val="1"/>
        </w:rPr>
        <w:t> </w:t>
      </w:r>
      <w:r>
        <w:rPr>
          <w:position w:val="1"/>
        </w:rPr>
        <w:t>do</w:t>
      </w:r>
      <w:r>
        <w:rPr>
          <w:spacing w:val="-5"/>
          <w:position w:val="1"/>
        </w:rPr>
        <w:t> </w:t>
      </w:r>
      <w:r>
        <w:rPr>
          <w:position w:val="1"/>
        </w:rPr>
        <w:t>interior</w:t>
      </w:r>
      <w:r>
        <w:rPr>
          <w:spacing w:val="-3"/>
          <w:position w:val="1"/>
        </w:rPr>
        <w:t> </w:t>
      </w:r>
      <w:r>
        <w:rPr>
          <w:position w:val="1"/>
        </w:rPr>
        <w:t>do</w:t>
      </w:r>
      <w:r>
        <w:rPr>
          <w:spacing w:val="-6"/>
          <w:position w:val="1"/>
        </w:rPr>
        <w:t> </w:t>
      </w:r>
      <w:r>
        <w:rPr>
          <w:position w:val="1"/>
        </w:rPr>
        <w:t>Amazonas</w:t>
      </w:r>
      <w:r>
        <w:rPr>
          <w:spacing w:val="-5"/>
          <w:position w:val="1"/>
        </w:rPr>
        <w:t> </w:t>
      </w:r>
      <w:r>
        <w:rPr>
          <w:position w:val="1"/>
        </w:rPr>
        <w:t>não</w:t>
      </w:r>
      <w:r>
        <w:rPr>
          <w:spacing w:val="-6"/>
          <w:position w:val="1"/>
        </w:rPr>
        <w:t> </w:t>
      </w:r>
      <w:r>
        <w:rPr>
          <w:position w:val="1"/>
        </w:rPr>
        <w:t>dispõem</w:t>
      </w:r>
      <w:r>
        <w:rPr>
          <w:spacing w:val="-4"/>
          <w:position w:val="1"/>
        </w:rPr>
        <w:t> </w:t>
      </w:r>
      <w:r>
        <w:rPr>
          <w:position w:val="1"/>
        </w:rPr>
        <w:t>de </w:t>
      </w:r>
      <w:r>
        <w:rPr/>
        <w:t>leitos de UTI e que o agravamento na saúde de cidadãs e cidadãos, em cenário de grande ocupação hospitalar na cidade de Manaus-AM, poderá representar a perda </w:t>
      </w:r>
      <w:r>
        <w:rPr>
          <w:position w:val="1"/>
        </w:rPr>
        <w:t>do direito de lutar pela própria vida por ausência de rec</w:t>
      </w:r>
      <w:r>
        <w:rPr/>
        <w:t>ursos</w:t>
      </w:r>
      <w:r>
        <w:rPr>
          <w:spacing w:val="-27"/>
        </w:rPr>
        <w:t> </w:t>
      </w:r>
      <w:r>
        <w:rPr/>
        <w:t>hospitalares;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35" w:lineRule="auto"/>
        <w:ind w:left="119" w:right="172" w:hanging="2"/>
        <w:jc w:val="both"/>
      </w:pPr>
      <w:r>
        <w:rPr>
          <w:rFonts w:ascii="Arial Black" w:hAnsi="Arial Black"/>
        </w:rPr>
        <w:t>CONSIDERANDO </w:t>
      </w:r>
      <w:r>
        <w:rPr>
          <w:position w:val="1"/>
        </w:rPr>
        <w:t>que, por meio do Decreto nº 43.272, de 6 de janeiro de 2021, </w:t>
      </w:r>
      <w:r>
        <w:rPr/>
        <w:t>voltou a ser declarado Estado de Calamidade Pública, em razão da grave crise de saúde pública decorrente da pandemia da COVID-19 (novo coronavírus) e suas repercussões nas finanças públicas do Estado do Amazonas;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15" w:lineRule="exact" w:before="1"/>
        <w:ind w:left="117"/>
        <w:jc w:val="both"/>
        <w:rPr>
          <w:b/>
        </w:rPr>
      </w:pPr>
      <w:r>
        <w:rPr>
          <w:rFonts w:ascii="Arial Black" w:hAnsi="Arial Black"/>
        </w:rPr>
        <w:t>CONSIDERANDO</w:t>
      </w:r>
      <w:r>
        <w:rPr>
          <w:rFonts w:ascii="Arial Black" w:hAnsi="Arial Black"/>
          <w:spacing w:val="-18"/>
        </w:rPr>
        <w:t> </w:t>
      </w:r>
      <w:r>
        <w:rPr/>
        <w:t>que,</w:t>
      </w:r>
      <w:r>
        <w:rPr>
          <w:spacing w:val="-29"/>
        </w:rPr>
        <w:t> </w:t>
      </w:r>
      <w:r>
        <w:rPr/>
        <w:t>em</w:t>
      </w:r>
      <w:r>
        <w:rPr>
          <w:spacing w:val="-28"/>
        </w:rPr>
        <w:t> </w:t>
      </w:r>
      <w:r>
        <w:rPr/>
        <w:t>resposta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questionamento</w:t>
      </w:r>
      <w:r>
        <w:rPr>
          <w:spacing w:val="-28"/>
        </w:rPr>
        <w:t> </w:t>
      </w:r>
      <w:r>
        <w:rPr/>
        <w:t>da</w:t>
      </w:r>
      <w:r>
        <w:rPr>
          <w:spacing w:val="-29"/>
        </w:rPr>
        <w:t> </w:t>
      </w:r>
      <w:r>
        <w:rPr>
          <w:rFonts w:ascii="Arial Black" w:hAnsi="Arial Black"/>
          <w:position w:val="1"/>
        </w:rPr>
        <w:t>DEFENSORIA</w:t>
      </w:r>
      <w:r>
        <w:rPr>
          <w:rFonts w:ascii="Arial Black" w:hAnsi="Arial Black"/>
          <w:spacing w:val="-22"/>
          <w:position w:val="1"/>
        </w:rPr>
        <w:t> </w:t>
      </w:r>
      <w:r>
        <w:rPr>
          <w:b/>
          <w:position w:val="1"/>
        </w:rPr>
        <w:t>PÚBLICA</w:t>
      </w:r>
    </w:p>
    <w:p>
      <w:pPr>
        <w:spacing w:line="301" w:lineRule="exact" w:before="0"/>
        <w:ind w:left="119" w:right="0" w:firstLine="0"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position w:val="1"/>
          <w:sz w:val="24"/>
        </w:rPr>
        <w:t>DO</w:t>
      </w:r>
      <w:r>
        <w:rPr>
          <w:rFonts w:ascii="Arial Black" w:hAnsi="Arial Black"/>
          <w:spacing w:val="-38"/>
          <w:position w:val="1"/>
          <w:sz w:val="24"/>
        </w:rPr>
        <w:t> </w:t>
      </w:r>
      <w:r>
        <w:rPr>
          <w:rFonts w:ascii="Arial Black" w:hAnsi="Arial Black"/>
          <w:position w:val="1"/>
          <w:sz w:val="24"/>
        </w:rPr>
        <w:t>ESTADO</w:t>
      </w:r>
      <w:r>
        <w:rPr>
          <w:rFonts w:ascii="Arial Black" w:hAnsi="Arial Black"/>
          <w:spacing w:val="-34"/>
          <w:position w:val="1"/>
          <w:sz w:val="24"/>
        </w:rPr>
        <w:t> </w:t>
      </w:r>
      <w:r>
        <w:rPr>
          <w:rFonts w:ascii="Arial Black" w:hAnsi="Arial Black"/>
          <w:position w:val="1"/>
          <w:sz w:val="24"/>
        </w:rPr>
        <w:t>DO</w:t>
      </w:r>
      <w:r>
        <w:rPr>
          <w:rFonts w:ascii="Arial Black" w:hAnsi="Arial Black"/>
          <w:spacing w:val="-38"/>
          <w:position w:val="1"/>
          <w:sz w:val="24"/>
        </w:rPr>
        <w:t> </w:t>
      </w:r>
      <w:r>
        <w:rPr>
          <w:rFonts w:ascii="Arial Black" w:hAnsi="Arial Black"/>
          <w:position w:val="1"/>
          <w:sz w:val="24"/>
        </w:rPr>
        <w:t>AMAZONAS</w:t>
      </w:r>
      <w:r>
        <w:rPr>
          <w:sz w:val="24"/>
        </w:rPr>
        <w:t>,</w:t>
      </w:r>
      <w:r>
        <w:rPr>
          <w:spacing w:val="-29"/>
          <w:sz w:val="24"/>
        </w:rPr>
        <w:t> </w:t>
      </w:r>
      <w:r>
        <w:rPr>
          <w:sz w:val="24"/>
        </w:rPr>
        <w:t>a</w:t>
      </w:r>
      <w:r>
        <w:rPr>
          <w:spacing w:val="-30"/>
          <w:sz w:val="24"/>
        </w:rPr>
        <w:t> </w:t>
      </w:r>
      <w:r>
        <w:rPr>
          <w:b/>
          <w:sz w:val="24"/>
        </w:rPr>
        <w:t>FUNDAÇÃO</w:t>
      </w:r>
      <w:r>
        <w:rPr>
          <w:b/>
          <w:spacing w:val="-22"/>
          <w:sz w:val="24"/>
        </w:rPr>
        <w:t> </w:t>
      </w:r>
      <w:r>
        <w:rPr>
          <w:rFonts w:ascii="Arial Black" w:hAnsi="Arial Black"/>
          <w:sz w:val="24"/>
        </w:rPr>
        <w:t>DE</w:t>
      </w:r>
      <w:r>
        <w:rPr>
          <w:rFonts w:ascii="Arial Black" w:hAnsi="Arial Black"/>
          <w:spacing w:val="-37"/>
          <w:sz w:val="24"/>
        </w:rPr>
        <w:t> </w:t>
      </w:r>
      <w:r>
        <w:rPr>
          <w:b/>
          <w:sz w:val="24"/>
        </w:rPr>
        <w:t>VIGILÂNCIA</w:t>
      </w:r>
      <w:r>
        <w:rPr>
          <w:b/>
          <w:spacing w:val="-24"/>
          <w:sz w:val="24"/>
        </w:rPr>
        <w:t> </w:t>
      </w:r>
      <w:r>
        <w:rPr>
          <w:rFonts w:ascii="Arial Black" w:hAnsi="Arial Black"/>
          <w:sz w:val="24"/>
        </w:rPr>
        <w:t>EM</w:t>
      </w:r>
      <w:r>
        <w:rPr>
          <w:rFonts w:ascii="Arial Black" w:hAnsi="Arial Black"/>
          <w:spacing w:val="-38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22"/>
          <w:sz w:val="24"/>
        </w:rPr>
        <w:t> </w:t>
      </w:r>
      <w:r>
        <w:rPr>
          <w:rFonts w:ascii="Arial Black" w:hAnsi="Arial Black"/>
          <w:sz w:val="24"/>
        </w:rPr>
        <w:t>(FVS)</w:t>
      </w:r>
    </w:p>
    <w:p>
      <w:pPr>
        <w:spacing w:line="244" w:lineRule="auto" w:before="0"/>
        <w:ind w:left="119" w:right="172" w:firstLine="0"/>
        <w:jc w:val="both"/>
        <w:rPr>
          <w:i/>
          <w:sz w:val="24"/>
        </w:rPr>
      </w:pPr>
      <w:r>
        <w:rPr>
          <w:sz w:val="24"/>
        </w:rPr>
        <w:t>asseverou que “</w:t>
      </w:r>
      <w:r>
        <w:rPr>
          <w:i/>
          <w:sz w:val="24"/>
        </w:rPr>
        <w:t>se torna estratégica a retomada das medidas de fiscalização e </w:t>
      </w:r>
      <w:r>
        <w:rPr>
          <w:i/>
          <w:sz w:val="24"/>
        </w:rPr>
        <w:t>exigências quanto as recomendações definidas para este modal, e que somente ocorram deslocamentos (ida e volta) de pessoas mediante autorização das autoridade municipais competentes, com a devida justificativa da necessidade </w:t>
      </w:r>
      <w:r>
        <w:rPr>
          <w:i/>
          <w:spacing w:val="-6"/>
          <w:sz w:val="24"/>
        </w:rPr>
        <w:t>da </w:t>
      </w:r>
      <w:r>
        <w:rPr>
          <w:i/>
          <w:sz w:val="24"/>
        </w:rPr>
        <w:t>viagem e que as fiscalizações e orientações sejam intensificadas principalmente em áreas mais vulneráveis como o Porto de Manaus e também dos municípios do interior do Estado para fins de garantia das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medidas”;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spacing w:line="325" w:lineRule="exact"/>
        <w:ind w:left="117"/>
        <w:jc w:val="both"/>
      </w:pPr>
      <w:r>
        <w:rPr>
          <w:rFonts w:ascii="Arial Black"/>
        </w:rPr>
        <w:t>RECOMENDA </w:t>
      </w:r>
      <w:r>
        <w:rPr/>
        <w:t>ao </w:t>
      </w:r>
      <w:r>
        <w:rPr>
          <w:rFonts w:ascii="Arial Black"/>
        </w:rPr>
        <w:t>ESTADO DO AMAZONAS</w:t>
      </w:r>
      <w:r>
        <w:rPr>
          <w:position w:val="1"/>
        </w:rPr>
        <w:t>, na pessoa do seu Governador, o</w:t>
      </w:r>
    </w:p>
    <w:p>
      <w:pPr>
        <w:pStyle w:val="BodyText"/>
        <w:spacing w:line="262" w:lineRule="exact"/>
        <w:ind w:left="119"/>
        <w:jc w:val="both"/>
      </w:pPr>
      <w:r>
        <w:rPr/>
        <w:t>Excelentíssimo Sr. Wilson Miranda Lima, que: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  <w:tab w:pos="1765" w:val="left" w:leader="none"/>
          <w:tab w:pos="7267" w:val="left" w:leader="none"/>
        </w:tabs>
        <w:spacing w:line="235" w:lineRule="auto" w:before="0" w:after="0"/>
        <w:ind w:left="119" w:right="172" w:hanging="2"/>
        <w:jc w:val="left"/>
        <w:rPr>
          <w:sz w:val="24"/>
        </w:rPr>
      </w:pPr>
      <w:r>
        <w:rPr>
          <w:rFonts w:ascii="Arial Black" w:hAnsi="Arial Black"/>
          <w:sz w:val="24"/>
        </w:rPr>
        <w:t>EDITE</w:t>
        <w:tab/>
      </w:r>
      <w:r>
        <w:rPr>
          <w:sz w:val="24"/>
        </w:rPr>
        <w:t>ato   normativo   determinando </w:t>
      </w:r>
      <w:r>
        <w:rPr>
          <w:spacing w:val="47"/>
          <w:sz w:val="24"/>
        </w:rPr>
        <w:t> </w:t>
      </w:r>
      <w:r>
        <w:rPr>
          <w:sz w:val="24"/>
        </w:rPr>
        <w:t>a </w:t>
      </w:r>
      <w:r>
        <w:rPr>
          <w:spacing w:val="59"/>
          <w:sz w:val="24"/>
        </w:rPr>
        <w:t> </w:t>
      </w:r>
      <w:r>
        <w:rPr>
          <w:b/>
          <w:sz w:val="24"/>
        </w:rPr>
        <w:t>SUSPENSÃO</w:t>
        <w:tab/>
      </w:r>
      <w:r>
        <w:rPr>
          <w:position w:val="1"/>
          <w:sz w:val="24"/>
        </w:rPr>
        <w:t>dos serviços </w:t>
      </w:r>
      <w:r>
        <w:rPr>
          <w:spacing w:val="-9"/>
          <w:position w:val="1"/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transporte fluvial de passageiros, operados por embarcações de pequeno, médio e</w:t>
      </w:r>
      <w:r>
        <w:rPr>
          <w:position w:val="1"/>
          <w:sz w:val="24"/>
        </w:rPr>
        <w:t> grande porte, de qualquer natureza</w:t>
      </w:r>
      <w:r>
        <w:rPr>
          <w:sz w:val="24"/>
        </w:rPr>
        <w:t>; e dos serviços de transporte terrestre</w:t>
      </w:r>
      <w:r>
        <w:rPr>
          <w:position w:val="1"/>
          <w:sz w:val="24"/>
        </w:rPr>
        <w:t> intermunicipal e </w:t>
      </w:r>
      <w:r>
        <w:rPr>
          <w:sz w:val="24"/>
        </w:rPr>
        <w:t>interestadual, </w:t>
      </w:r>
      <w:r>
        <w:rPr>
          <w:position w:val="1"/>
          <w:sz w:val="24"/>
        </w:rPr>
        <w:t>dentro dos limites territoriais do Estado do Amazonas, ressalvados os casos de emergência e u</w:t>
      </w:r>
      <w:r>
        <w:rPr>
          <w:sz w:val="24"/>
        </w:rPr>
        <w:t>rgência, a serem definidos pela Agência Reguladora de Serviços Públicos Delegados e Contratados do Estado do</w:t>
      </w:r>
      <w:r>
        <w:rPr>
          <w:spacing w:val="53"/>
          <w:sz w:val="24"/>
        </w:rPr>
        <w:t> </w:t>
      </w:r>
      <w:r>
        <w:rPr>
          <w:sz w:val="24"/>
        </w:rPr>
        <w:t>Amazonas</w:t>
      </w:r>
    </w:p>
    <w:p>
      <w:pPr>
        <w:pStyle w:val="BodyText"/>
        <w:spacing w:line="276" w:lineRule="exact"/>
        <w:ind w:left="119"/>
        <w:jc w:val="both"/>
      </w:pPr>
      <w:r>
        <w:rPr/>
        <w:t>– ARSEPAM.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32" w:lineRule="auto" w:before="0" w:after="0"/>
        <w:ind w:left="119" w:right="172" w:hanging="2"/>
        <w:jc w:val="both"/>
        <w:rPr>
          <w:sz w:val="24"/>
        </w:rPr>
      </w:pPr>
      <w:r>
        <w:rPr>
          <w:rFonts w:ascii="Arial Black" w:hAnsi="Arial Black"/>
          <w:sz w:val="24"/>
        </w:rPr>
        <w:t>MANTENHA </w:t>
      </w:r>
      <w:r>
        <w:rPr>
          <w:position w:val="1"/>
          <w:sz w:val="24"/>
        </w:rPr>
        <w:t>a suspensão das referidas modalidades de transporte, com </w:t>
      </w:r>
      <w:r>
        <w:rPr>
          <w:spacing w:val="-14"/>
          <w:position w:val="1"/>
          <w:sz w:val="24"/>
        </w:rPr>
        <w:t>a </w:t>
      </w:r>
      <w:r>
        <w:rPr>
          <w:position w:val="1"/>
          <w:sz w:val="24"/>
        </w:rPr>
        <w:t>instala</w:t>
      </w:r>
      <w:r>
        <w:rPr>
          <w:sz w:val="24"/>
        </w:rPr>
        <w:t>ção de barreiras de fiscalização, por via fluvial e terrestre, </w:t>
      </w:r>
      <w:r>
        <w:rPr>
          <w:position w:val="1"/>
          <w:sz w:val="24"/>
        </w:rPr>
        <w:t>com sucessivas</w:t>
      </w:r>
      <w:r>
        <w:rPr>
          <w:sz w:val="24"/>
        </w:rPr>
        <w:t> renovações, se necessárias, até que o Estado do Amazonas retorne à fase amarela da pandemia, sem prejuízo ainda do empenho em outras formas</w:t>
      </w:r>
      <w:r>
        <w:rPr>
          <w:spacing w:val="-37"/>
          <w:sz w:val="24"/>
        </w:rPr>
        <w:t> </w:t>
      </w:r>
      <w:r>
        <w:rPr>
          <w:sz w:val="24"/>
        </w:rPr>
        <w:t>fiscalizatórias.</w:t>
      </w:r>
    </w:p>
    <w:p>
      <w:pPr>
        <w:spacing w:after="0" w:line="232" w:lineRule="auto"/>
        <w:jc w:val="both"/>
        <w:rPr>
          <w:sz w:val="24"/>
        </w:rPr>
        <w:sectPr>
          <w:pgSz w:w="11910" w:h="16840"/>
          <w:pgMar w:header="1008" w:footer="790" w:top="2000" w:bottom="980" w:left="144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4" w:lineRule="auto" w:before="93"/>
        <w:ind w:left="119" w:right="161" w:hanging="2"/>
        <w:jc w:val="both"/>
      </w:pPr>
      <w:r>
        <w:rPr/>
        <w:t>Ficam advertidos(as) os(as) destinatários(as) da presente dos seguintes efeitos das recomendações expedidas: (a) constituir em mora o(a) destinatário(a) quanto às providências recomendadas, podendo seu descumprimento implicar a adoção de medidas administrativas e ações judiciais cabíveis contra o(a) responsável; (b) constituir-se o seu descumprimento em elemento probatório em sede de ações</w:t>
      </w:r>
      <w:r>
        <w:rPr>
          <w:spacing w:val="-31"/>
        </w:rPr>
        <w:t> </w:t>
      </w:r>
      <w:r>
        <w:rPr/>
        <w:t>cíveis ou criminais.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244" w:lineRule="auto"/>
        <w:ind w:left="119" w:right="172" w:hanging="2"/>
        <w:jc w:val="both"/>
      </w:pPr>
      <w:r>
        <w:rPr/>
        <w:t>Dá-se aos(às) destinatários(as) desta Recomendação o prazo de 48 (quarenta e oito) horas para manifestação a respeito de seu acatamento e envio das informações e documentos requisitados.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67" w:val="left" w:leader="none"/>
          <w:tab w:pos="2378" w:val="left" w:leader="none"/>
          <w:tab w:pos="3513" w:val="left" w:leader="none"/>
          <w:tab w:pos="4261" w:val="left" w:leader="none"/>
          <w:tab w:pos="5637" w:val="left" w:leader="none"/>
          <w:tab w:pos="6319" w:val="left" w:leader="none"/>
          <w:tab w:pos="7734" w:val="left" w:leader="none"/>
        </w:tabs>
        <w:spacing w:line="244" w:lineRule="auto" w:before="193"/>
        <w:ind w:left="119" w:right="172" w:hanging="2"/>
      </w:pPr>
      <w:r>
        <w:rPr/>
        <w:t>A ciência da presente Recomendação e as informações sobre as medidas adotadas e</w:t>
        <w:tab/>
        <w:t>requisitadas</w:t>
        <w:tab/>
        <w:t>devem</w:t>
        <w:tab/>
        <w:t>ser</w:t>
        <w:tab/>
        <w:t>enviadas</w:t>
        <w:tab/>
        <w:t>ao</w:t>
        <w:tab/>
        <w:t>endereço</w:t>
        <w:tab/>
        <w:t>eletrônico </w:t>
      </w:r>
      <w:hyperlink r:id="rId7">
        <w:r>
          <w:rPr>
            <w:color w:val="0000FF"/>
            <w:position w:val="1"/>
            <w:u w:val="single" w:color="0000FF"/>
          </w:rPr>
          <w:t>gabinete@defensoria.am.gov.br</w:t>
        </w:r>
        <w:r>
          <w:rPr/>
          <w:t>.</w:t>
        </w:r>
      </w:hyperlink>
    </w:p>
    <w:p>
      <w:pPr>
        <w:pStyle w:val="BodyText"/>
        <w:rPr>
          <w:sz w:val="35"/>
        </w:rPr>
      </w:pPr>
    </w:p>
    <w:p>
      <w:pPr>
        <w:pStyle w:val="BodyText"/>
        <w:ind w:left="5828"/>
      </w:pPr>
      <w:r>
        <w:rPr/>
        <w:t>Manaus, 08 de janeiro de 2021.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325" w:lineRule="exact"/>
        <w:ind w:left="2223" w:right="1494"/>
        <w:jc w:val="center"/>
        <w:rPr>
          <w:rFonts w:ascii="Arial Black"/>
        </w:rPr>
      </w:pPr>
      <w:r>
        <w:rPr>
          <w:rFonts w:ascii="Arial Black"/>
        </w:rPr>
        <w:t>Ricardo Queiroz de Paiva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Geral do Estado do Amazonas</w:t>
      </w:r>
    </w:p>
    <w:p>
      <w:pPr>
        <w:pStyle w:val="BodyText"/>
        <w:spacing w:line="325" w:lineRule="exact" w:before="229"/>
        <w:ind w:left="2223" w:right="1497"/>
        <w:jc w:val="center"/>
        <w:rPr>
          <w:rFonts w:ascii="Arial Black"/>
        </w:rPr>
      </w:pPr>
      <w:r>
        <w:rPr>
          <w:rFonts w:ascii="Arial Black"/>
        </w:rPr>
        <w:t>Thiago Nobre Rosas</w:t>
      </w:r>
    </w:p>
    <w:p>
      <w:pPr>
        <w:pStyle w:val="BodyText"/>
        <w:spacing w:line="262" w:lineRule="exact"/>
        <w:ind w:left="2223" w:right="1556"/>
        <w:jc w:val="center"/>
      </w:pPr>
      <w:r>
        <w:rPr/>
        <w:t>Subdefensor Público Geral do Estado do Amazonas</w:t>
      </w:r>
    </w:p>
    <w:p>
      <w:pPr>
        <w:pStyle w:val="BodyText"/>
        <w:spacing w:line="325" w:lineRule="exact" w:before="228"/>
        <w:ind w:left="2223" w:right="1517"/>
        <w:jc w:val="center"/>
        <w:rPr>
          <w:rFonts w:ascii="Arial Black"/>
        </w:rPr>
      </w:pPr>
      <w:r>
        <w:rPr>
          <w:rFonts w:ascii="Arial Black"/>
          <w:w w:val="95"/>
        </w:rPr>
        <w:t>Rafael Lutti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right="1499"/>
      </w:pPr>
      <w:r>
        <w:rPr/>
        <w:t>Gabriela Ferreira Gonçalves</w:t>
      </w:r>
    </w:p>
    <w:p>
      <w:pPr>
        <w:pStyle w:val="BodyText"/>
        <w:spacing w:line="274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rPr>
          <w:sz w:val="26"/>
        </w:rPr>
      </w:pPr>
    </w:p>
    <w:p>
      <w:pPr>
        <w:pStyle w:val="BodyText"/>
        <w:spacing w:line="325" w:lineRule="exact" w:before="201"/>
        <w:ind w:left="2223" w:right="1468"/>
        <w:jc w:val="center"/>
        <w:rPr>
          <w:rFonts w:ascii="Arial Black"/>
        </w:rPr>
      </w:pPr>
      <w:r>
        <w:rPr>
          <w:rFonts w:ascii="Arial Black"/>
        </w:rPr>
        <w:t>Enale de Castro Coutinho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8"/>
        <w:ind w:left="2223" w:right="1535"/>
        <w:jc w:val="center"/>
        <w:rPr>
          <w:rFonts w:ascii="Arial Black"/>
        </w:rPr>
      </w:pPr>
      <w:r>
        <w:rPr>
          <w:rFonts w:ascii="Arial Black"/>
        </w:rPr>
        <w:t>Bruno</w:t>
      </w:r>
      <w:r>
        <w:rPr>
          <w:rFonts w:ascii="Arial Black"/>
          <w:spacing w:val="-61"/>
        </w:rPr>
        <w:t> </w:t>
      </w:r>
      <w:r>
        <w:rPr>
          <w:rFonts w:ascii="Arial Black"/>
        </w:rPr>
        <w:t>Fiorin</w:t>
      </w:r>
      <w:r>
        <w:rPr>
          <w:rFonts w:ascii="Arial Black"/>
          <w:spacing w:val="-54"/>
        </w:rPr>
        <w:t> </w:t>
      </w:r>
      <w:r>
        <w:rPr>
          <w:rFonts w:ascii="Arial Black"/>
        </w:rPr>
        <w:t>Hernig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pStyle w:val="BodyText"/>
        <w:spacing w:line="325" w:lineRule="exact" w:before="228"/>
        <w:ind w:left="2223" w:right="1489"/>
        <w:jc w:val="center"/>
        <w:rPr>
          <w:rFonts w:ascii="Arial Black"/>
        </w:rPr>
      </w:pPr>
      <w:r>
        <w:rPr>
          <w:rFonts w:ascii="Arial Black"/>
        </w:rPr>
        <w:t>Murilo Menezes do Monte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pStyle w:val="BodyText"/>
        <w:spacing w:line="325" w:lineRule="exact" w:before="228"/>
        <w:ind w:left="2223" w:right="1494"/>
        <w:jc w:val="center"/>
        <w:rPr>
          <w:rFonts w:ascii="Arial Black"/>
        </w:rPr>
      </w:pPr>
      <w:r>
        <w:rPr>
          <w:rFonts w:ascii="Arial Black"/>
          <w:w w:val="95"/>
        </w:rPr>
        <w:t>Oswaldo Machado Neto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spacing w:after="0" w:line="262" w:lineRule="exact"/>
        <w:jc w:val="center"/>
        <w:sectPr>
          <w:pgSz w:w="11910" w:h="16840"/>
          <w:pgMar w:header="1008" w:footer="790" w:top="2000" w:bottom="980" w:left="1440" w:right="110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25" w:lineRule="exact" w:before="100"/>
        <w:ind w:left="2223" w:right="1484"/>
        <w:jc w:val="center"/>
        <w:rPr>
          <w:rFonts w:ascii="Arial Black"/>
        </w:rPr>
      </w:pPr>
      <w:r>
        <w:rPr>
          <w:rFonts w:ascii="Arial Black"/>
        </w:rPr>
        <w:t>Lucas Fernandes Matos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spacing w:line="325" w:lineRule="exact" w:before="228"/>
        <w:ind w:left="2223" w:right="1520" w:firstLine="0"/>
        <w:jc w:val="center"/>
        <w:rPr>
          <w:rFonts w:ascii="Arial Black" w:hAnsi="Arial Black"/>
          <w:sz w:val="24"/>
        </w:rPr>
      </w:pPr>
      <w:r>
        <w:rPr>
          <w:b/>
          <w:sz w:val="24"/>
        </w:rPr>
        <w:t>Márcia </w:t>
      </w:r>
      <w:r>
        <w:rPr>
          <w:rFonts w:ascii="Arial Black" w:hAnsi="Arial Black"/>
          <w:sz w:val="24"/>
        </w:rPr>
        <w:t>Mileni Silva Miranda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9"/>
        <w:ind w:left="2223" w:right="1483"/>
        <w:jc w:val="center"/>
        <w:rPr>
          <w:rFonts w:ascii="Arial Black"/>
        </w:rPr>
      </w:pPr>
      <w:r>
        <w:rPr>
          <w:rFonts w:ascii="Arial Black"/>
        </w:rPr>
        <w:t>Rodrigo Santos Valle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ind w:right="1453"/>
      </w:pPr>
      <w:r>
        <w:rPr/>
        <w:t>Jéssica Cristina Melo de Matos</w:t>
      </w:r>
    </w:p>
    <w:p>
      <w:pPr>
        <w:pStyle w:val="BodyText"/>
        <w:spacing w:line="274" w:lineRule="exact"/>
        <w:ind w:left="2222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9"/>
        <w:ind w:left="2223" w:right="1439"/>
        <w:jc w:val="center"/>
        <w:rPr>
          <w:rFonts w:ascii="Arial Black"/>
        </w:rPr>
      </w:pPr>
      <w:r>
        <w:rPr>
          <w:rFonts w:ascii="Arial Black"/>
        </w:rPr>
        <w:t>Newton Ramon Cordeiro de Lucena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 Público do Estado do Amazonas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ind w:right="1477"/>
      </w:pPr>
      <w:r>
        <w:rPr/>
        <w:t>Lívia Azevedo de Carvalho</w:t>
      </w:r>
    </w:p>
    <w:p>
      <w:pPr>
        <w:pStyle w:val="BodyText"/>
        <w:spacing w:line="274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9"/>
        <w:ind w:left="2223" w:right="1471"/>
        <w:jc w:val="center"/>
        <w:rPr>
          <w:rFonts w:ascii="Arial Black"/>
        </w:rPr>
      </w:pPr>
      <w:r>
        <w:rPr>
          <w:rFonts w:ascii="Arial Black"/>
          <w:w w:val="95"/>
        </w:rPr>
        <w:t>Renata Visco Costa de Almeida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8"/>
        <w:ind w:left="2223" w:right="1505"/>
        <w:jc w:val="center"/>
        <w:rPr>
          <w:rFonts w:ascii="Arial Black"/>
        </w:rPr>
      </w:pPr>
      <w:r>
        <w:rPr>
          <w:rFonts w:ascii="Arial Black"/>
          <w:w w:val="95"/>
        </w:rPr>
        <w:t>Francine Lucia BuffonBaldissarella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8"/>
        <w:ind w:left="2223" w:right="1509"/>
        <w:jc w:val="center"/>
        <w:rPr>
          <w:rFonts w:ascii="Arial Black"/>
        </w:rPr>
      </w:pPr>
      <w:r>
        <w:rPr>
          <w:rFonts w:ascii="Arial Black"/>
          <w:w w:val="95"/>
        </w:rPr>
        <w:t>Mirella Leal Cabral Maciel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Defensora Pública do Estado do Amazonas</w:t>
      </w:r>
    </w:p>
    <w:p>
      <w:pPr>
        <w:pStyle w:val="BodyText"/>
        <w:spacing w:line="325" w:lineRule="exact" w:before="228"/>
        <w:ind w:left="2223" w:right="1445"/>
        <w:jc w:val="center"/>
        <w:rPr>
          <w:rFonts w:ascii="Arial Black"/>
        </w:rPr>
      </w:pPr>
      <w:r>
        <w:rPr>
          <w:rFonts w:ascii="Arial Black"/>
        </w:rPr>
        <w:t>Bernardo Mello Portella Campos</w:t>
      </w:r>
    </w:p>
    <w:p>
      <w:pPr>
        <w:pStyle w:val="BodyText"/>
        <w:spacing w:line="262" w:lineRule="exact"/>
        <w:ind w:left="2223" w:right="1555"/>
        <w:jc w:val="center"/>
      </w:pPr>
      <w:r>
        <w:rPr/>
        <w:t>Defensor Público do Estado do Amazonas</w:t>
      </w:r>
    </w:p>
    <w:p>
      <w:pPr>
        <w:pStyle w:val="BodyText"/>
        <w:spacing w:line="325" w:lineRule="exact" w:before="229"/>
        <w:ind w:left="2223" w:right="1464"/>
        <w:jc w:val="center"/>
        <w:rPr>
          <w:rFonts w:ascii="Arial Black"/>
        </w:rPr>
      </w:pPr>
      <w:r>
        <w:rPr>
          <w:rFonts w:ascii="Arial Black"/>
        </w:rPr>
        <w:t>Thiago Torres Cordeiro</w:t>
      </w:r>
    </w:p>
    <w:p>
      <w:pPr>
        <w:pStyle w:val="BodyText"/>
        <w:spacing w:line="262" w:lineRule="exact"/>
        <w:ind w:left="2223" w:right="1555"/>
        <w:jc w:val="center"/>
      </w:pPr>
      <w:r>
        <w:rPr/>
        <w:t>Defensor Público do Estado do Amazonas</w:t>
      </w:r>
    </w:p>
    <w:p>
      <w:pPr>
        <w:pStyle w:val="BodyText"/>
        <w:spacing w:line="325" w:lineRule="exact" w:before="228"/>
        <w:ind w:left="2223" w:right="1519"/>
        <w:jc w:val="center"/>
        <w:rPr>
          <w:rFonts w:ascii="Arial Black"/>
        </w:rPr>
      </w:pPr>
      <w:r>
        <w:rPr>
          <w:rFonts w:ascii="Arial Black"/>
          <w:w w:val="95"/>
        </w:rPr>
        <w:t>Thais Maria Marra Correa</w:t>
      </w:r>
    </w:p>
    <w:p>
      <w:pPr>
        <w:pStyle w:val="BodyText"/>
        <w:spacing w:line="262" w:lineRule="exact"/>
        <w:ind w:left="2223" w:right="1556"/>
        <w:jc w:val="center"/>
      </w:pPr>
      <w:r>
        <w:rPr/>
        <w:t>Defensora Pública do Estado do Amazonas</w:t>
      </w:r>
    </w:p>
    <w:sectPr>
      <w:pgSz w:w="11910" w:h="16840"/>
      <w:pgMar w:header="1008" w:footer="790" w:top="2000" w:bottom="980" w:left="14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0</wp:posOffset>
          </wp:positionH>
          <wp:positionV relativeFrom="page">
            <wp:posOffset>10063480</wp:posOffset>
          </wp:positionV>
          <wp:extent cx="628650" cy="62865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58.480011pt;margin-top:813.900024pt;width:436.85pt;height:28pt;mso-position-horizontal-relative:page;mso-position-vertical-relative:page;z-index:-15824384" coordorigin="3170,16278" coordsize="8737,560" path="m11906,16278l3170,16278,3170,16558,8220,16558,8220,16838,11906,16838,11906,16558,11906,16278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159.479996pt;margin-top:815.657837pt;width:436.85pt;height:10.95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DOCUMENTO ASSINADO DIGITALMENTE POR RICARDO QUEIROZ DE PAIVA:68553552268 EM 08/01/2021 15:00:11</w:t>
                </w:r>
              </w:p>
            </w:txbxContent>
          </v:textbox>
          <w10:wrap type="none"/>
        </v:shape>
      </w:pict>
    </w:r>
    <w:r>
      <w:rPr/>
      <w:pict>
        <v:shape style="position:absolute;margin-left:412.01001pt;margin-top:829.657837pt;width:184.3pt;height:10.95pt;mso-position-horizontal-relative:page;mso-position-vertical-relative:page;z-index:-15823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CÓDIGO DE VERIFICAÇÃO: 8CB28902000E902C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685798</wp:posOffset>
          </wp:positionH>
          <wp:positionV relativeFrom="page">
            <wp:posOffset>640386</wp:posOffset>
          </wp:positionV>
          <wp:extent cx="3272781" cy="6305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2781" cy="63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4.180084pt;margin-top:51.425961pt;width:201.1pt;height:48.5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line="271" w:lineRule="auto" w:before="13"/>
                  <w:ind w:left="20" w:right="18" w:firstLine="536"/>
                  <w:jc w:val="right"/>
                  <w:rPr>
                    <w:sz w:val="18"/>
                  </w:rPr>
                </w:pPr>
                <w:r>
                  <w:rPr>
                    <w:b/>
                    <w:sz w:val="20"/>
                  </w:rPr>
                  <w:t>Gabinete do Defensor</w:t>
                </w:r>
                <w:r>
                  <w:rPr>
                    <w:b/>
                    <w:spacing w:val="-2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Público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Geral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sz w:val="18"/>
                  </w:rPr>
                  <w:t>Avenida André Araújo, 679 | Aleixo |</w:t>
                </w:r>
                <w:r>
                  <w:rPr>
                    <w:spacing w:val="-28"/>
                    <w:sz w:val="18"/>
                  </w:rPr>
                  <w:t> </w:t>
                </w:r>
                <w:r>
                  <w:rPr>
                    <w:sz w:val="18"/>
                  </w:rPr>
                  <w:t>Manaus/AM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| CEP 69060 – 000 | Telefone (92) 98417-3735</w:t>
                </w:r>
                <w:r>
                  <w:rPr>
                    <w:spacing w:val="-32"/>
                    <w:sz w:val="18"/>
                  </w:rPr>
                  <w:t> </w:t>
                </w:r>
                <w:r>
                  <w:rPr>
                    <w:sz w:val="18"/>
                  </w:rPr>
                  <w:t>|</w:t>
                </w:r>
              </w:p>
              <w:p>
                <w:pPr>
                  <w:spacing w:before="3"/>
                  <w:ind w:left="0" w:right="27" w:firstLine="0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E-mail:</w:t>
                </w:r>
                <w:r>
                  <w:rPr>
                    <w:spacing w:val="-1"/>
                    <w:sz w:val="18"/>
                  </w:rPr>
                  <w:t> </w:t>
                </w:r>
                <w:hyperlink r:id="rId2">
                  <w:r>
                    <w:rPr>
                      <w:sz w:val="18"/>
                    </w:rPr>
                    <w:t>gabinete@defensoria.am.gov.br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120" w:hanging="722"/>
        <w:jc w:val="left"/>
      </w:pPr>
      <w:rPr>
        <w:rFonts w:hint="default" w:ascii="Times New Roman" w:hAnsi="Times New Roman" w:eastAsia="Times New Roman" w:cs="Times New Roman"/>
        <w:w w:val="8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4" w:hanging="7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9" w:hanging="7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3" w:hanging="7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8" w:hanging="7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3" w:hanging="7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7" w:hanging="7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2" w:hanging="7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6" w:hanging="7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2223" w:right="153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172" w:hanging="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abinete@defensoria.am.gov.br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defensoria.am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2021-01-08T21:00:23Z</dcterms:created>
  <dcterms:modified xsi:type="dcterms:W3CDTF">2021-01-08T21:00:23Z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2021-01-08T00:00:00Z</vt:filetime>
  </property>
</Properties>
</file>